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1084757"/>
    <w:p w14:paraId="69D67652" w14:textId="004BCA65" w:rsidR="003D283B" w:rsidRPr="0035034A" w:rsidRDefault="003D283B" w:rsidP="003D283B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DB8B65" wp14:editId="7D7F6F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B1B1D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 w:rsidR="00B82736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20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6241E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3041</w:t>
      </w:r>
    </w:p>
    <w:p w14:paraId="4BF14776" w14:textId="16173391" w:rsidR="00AA3FAE" w:rsidRPr="00AA3FAE" w:rsidRDefault="00B82736" w:rsidP="003D283B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Incheon, South Korea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22</w:t>
      </w:r>
      <w:r w:rsidR="003D283B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D283B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3D283B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="003D283B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D283B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120AD98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1" w:name="OLE_LINK7"/>
      <w:r w:rsidR="00770C1B" w:rsidRPr="00770C1B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Mobility enhancements for mobile IAB-node and its served UE</w:t>
      </w:r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32368">
        <w:trPr>
          <w:trHeight w:val="1747"/>
        </w:trPr>
        <w:tc>
          <w:tcPr>
            <w:tcW w:w="9704" w:type="dxa"/>
          </w:tcPr>
          <w:p w14:paraId="71F28782" w14:textId="77777777" w:rsidR="00236927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04578F2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43D92FE" w14:textId="77777777" w:rsidR="00236927" w:rsidRPr="00D06F6A" w:rsidRDefault="00236927" w:rsidP="0023692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93CBACB" w14:textId="77777777" w:rsidR="00236927" w:rsidRPr="00314064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9D6DF84" w14:textId="77777777" w:rsidR="00236927" w:rsidRPr="00314064" w:rsidRDefault="00236927" w:rsidP="0023692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03498F84" w:rsidR="002F0CB9" w:rsidRPr="001139CF" w:rsidRDefault="00236927" w:rsidP="0023692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ascii="Calibri" w:eastAsia="Times New Roman" w:hAnsi="Calibri" w:cs="Times New Roman"/>
                <w:sz w:val="22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6D4B8E3A" w14:textId="0D300EAD" w:rsidR="006E5566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 xml:space="preserve">enhancement for mobile IAB-node mobility is discussed, including </w:t>
      </w:r>
      <w:r w:rsidR="006E5566" w:rsidRPr="006E5566">
        <w:rPr>
          <w:rFonts w:ascii="Times New Roman" w:eastAsia="宋体" w:hAnsi="Times New Roman" w:cs="Times New Roman"/>
          <w:kern w:val="0"/>
          <w:sz w:val="20"/>
          <w:szCs w:val="20"/>
        </w:rPr>
        <w:t>aspects related to</w:t>
      </w:r>
      <w:r w:rsidR="000637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indication</w:t>
      </w:r>
      <w:r w:rsidR="002402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07335E">
        <w:rPr>
          <w:rFonts w:ascii="Times New Roman" w:eastAsia="宋体" w:hAnsi="Times New Roman" w:cs="Times New Roman"/>
          <w:kern w:val="0"/>
          <w:sz w:val="20"/>
          <w:szCs w:val="20"/>
        </w:rPr>
        <w:t>configuration for IAB-D</w:t>
      </w:r>
      <w:r w:rsidR="001D279D">
        <w:rPr>
          <w:rFonts w:ascii="Times New Roman" w:eastAsia="宋体" w:hAnsi="Times New Roman" w:cs="Times New Roman"/>
          <w:kern w:val="0"/>
          <w:sz w:val="20"/>
          <w:szCs w:val="20"/>
        </w:rPr>
        <w:t>U’s parameters</w:t>
      </w:r>
      <w:r w:rsidR="006E556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407303D" w14:textId="6B412651" w:rsidR="0036486D" w:rsidRPr="0036486D" w:rsidRDefault="0036486D" w:rsidP="0036486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 indication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/</w:t>
      </w:r>
      <w:proofErr w:type="spellStart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</w:t>
      </w:r>
      <w:proofErr w:type="spellEnd"/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-node</w:t>
      </w:r>
      <w:r w:rsidR="000E079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 w:rsidRPr="0036486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authorized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in HO request</w:t>
      </w:r>
    </w:p>
    <w:tbl>
      <w:tblPr>
        <w:tblW w:w="9697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36486D" w14:paraId="6139C07C" w14:textId="77777777" w:rsidTr="00830B7D">
        <w:trPr>
          <w:trHeight w:val="519"/>
        </w:trPr>
        <w:tc>
          <w:tcPr>
            <w:tcW w:w="9697" w:type="dxa"/>
          </w:tcPr>
          <w:p w14:paraId="2A06D2B0" w14:textId="77777777" w:rsidR="00A34A2D" w:rsidRPr="00A34A2D" w:rsidRDefault="00A34A2D" w:rsidP="00A34A2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9bis-e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2D284B5" w14:textId="77777777" w:rsidR="0036486D" w:rsidRPr="00040CD5" w:rsidRDefault="0036486D" w:rsidP="00A34A2D">
            <w:pPr>
              <w:widowControl/>
              <w:spacing w:after="120"/>
              <w:jc w:val="left"/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</w:pPr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To be continued: Whether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 indication and/or explicit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-node-authorized indication needs to be included in the HO request for the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-MT, e.g., so that the target CU can perform admission control.</w:t>
            </w:r>
          </w:p>
        </w:tc>
      </w:tr>
    </w:tbl>
    <w:p w14:paraId="4A0B1289" w14:textId="0A0A620A" w:rsidR="00202146" w:rsidRDefault="003A2EE2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</w:t>
      </w:r>
      <w:r w:rsidR="00145DD8">
        <w:rPr>
          <w:rFonts w:ascii="Times New Roman" w:eastAsia="宋体" w:hAnsi="Times New Roman" w:cs="Times New Roman"/>
          <w:kern w:val="0"/>
          <w:sz w:val="20"/>
          <w:szCs w:val="20"/>
        </w:rPr>
        <w:t>current specification for R16 IAB-node as follow, explicit IAB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and IAB Authorized IE are included in the H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ANDOVER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REQUEST</w:t>
      </w:r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</w:t>
      </w:r>
      <w:proofErr w:type="spellStart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20214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NGAP separately.</w:t>
      </w: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1"/>
      </w:tblGrid>
      <w:tr w:rsidR="00152CA4" w14:paraId="60E21FB5" w14:textId="77777777" w:rsidTr="00152CA4">
        <w:trPr>
          <w:trHeight w:val="519"/>
        </w:trPr>
        <w:tc>
          <w:tcPr>
            <w:tcW w:w="9661" w:type="dxa"/>
          </w:tcPr>
          <w:p w14:paraId="324A9BE4" w14:textId="785FEBF6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38.423:</w:t>
            </w:r>
          </w:p>
          <w:p w14:paraId="6754679E" w14:textId="77777777" w:rsidR="00152CA4" w:rsidRPr="00152CA4" w:rsidRDefault="00152CA4" w:rsidP="00152CA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</w:pP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N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ode </w:t>
            </w:r>
            <w:r w:rsidRPr="00152CA4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>I</w:t>
            </w:r>
            <w:r w:rsidRPr="00152CA4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ndication 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target NG-RAN node shall, if supported, consider that the handover is for an IAB node.</w:t>
            </w:r>
            <w:r w:rsidRPr="00152CA4">
              <w:rPr>
                <w:rFonts w:ascii="Times New Roman" w:eastAsia="等线" w:hAnsi="Times New Roman" w:cs="Times New Roman"/>
                <w:snapToGrid w:val="0"/>
                <w:kern w:val="0"/>
                <w:sz w:val="20"/>
                <w:szCs w:val="20"/>
                <w:lang w:val="en-GB" w:eastAsia="ko-KR"/>
              </w:rPr>
              <w:t xml:space="preserve"> In addition:</w:t>
            </w:r>
          </w:p>
          <w:p w14:paraId="3911BBD7" w14:textId="77777777" w:rsidR="00152CA4" w:rsidRDefault="00152CA4" w:rsidP="00152CA4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ind w:left="-5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 38.413:</w:t>
            </w:r>
          </w:p>
          <w:p w14:paraId="271161D0" w14:textId="6AD0B5CC" w:rsidR="00152CA4" w:rsidRPr="00443675" w:rsidRDefault="00443675" w:rsidP="00443675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>If the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443675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highlight w:val="yellow"/>
                <w:lang w:val="en-GB"/>
              </w:rPr>
              <w:t xml:space="preserve">IAB Authorized 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highlight w:val="yellow"/>
                <w:lang w:val="en-GB"/>
              </w:rPr>
              <w:t>IE</w:t>
            </w:r>
            <w:r w:rsidRPr="00443675">
              <w:rPr>
                <w:rFonts w:ascii="Times New Roman" w:eastAsia="宋体" w:hAnsi="Times New Roman" w:cs="Times New Roman"/>
                <w:snapToGrid w:val="0"/>
                <w:kern w:val="0"/>
                <w:sz w:val="20"/>
                <w:szCs w:val="20"/>
                <w:lang w:val="en-GB"/>
              </w:rPr>
              <w:t xml:space="preserve"> is contained in the HANDOVER REQUEST message, the NG-RAN node shall, if supported, consider that the handover is for an IAB node.</w:t>
            </w:r>
          </w:p>
        </w:tc>
      </w:tr>
    </w:tbl>
    <w:p w14:paraId="5B8C660A" w14:textId="7291F805" w:rsidR="0036486D" w:rsidRDefault="00202146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imilar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design of R16, for mobile IAB, </w:t>
      </w:r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an explicit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mIAB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Node Indication is contained in the </w:t>
      </w:r>
      <w:proofErr w:type="spellStart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5A684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A6844" w:rsidRPr="00152CA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from source IAB-donor to target IAB-donor, and an explicit </w:t>
      </w:r>
      <w:proofErr w:type="spellStart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>mIAB</w:t>
      </w:r>
      <w:proofErr w:type="spellEnd"/>
      <w:r w:rsidR="005A6844">
        <w:rPr>
          <w:rFonts w:ascii="Times New Roman" w:eastAsia="等线" w:hAnsi="Times New Roman" w:cs="Times New Roman"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="005A6844" w:rsidRPr="00443675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>HANDOVER REQUEST message</w:t>
      </w:r>
      <w:r w:rsidR="005A6844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/>
        </w:rPr>
        <w:t xml:space="preserve"> from AMF to target IAB-donor.</w:t>
      </w:r>
    </w:p>
    <w:p w14:paraId="4A06005F" w14:textId="378AE051" w:rsidR="005A6844" w:rsidRPr="005A6844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IAB-donor.</w:t>
      </w:r>
    </w:p>
    <w:p w14:paraId="5157DEB5" w14:textId="37434E54" w:rsidR="00F26293" w:rsidRPr="00F26293" w:rsidRDefault="005A6844" w:rsidP="0036486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  <w:r w:rsidR="004D7E11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</w:t>
      </w:r>
    </w:p>
    <w:p w14:paraId="1FC52BFA" w14:textId="3F8E7D40" w:rsidR="00A34A2D" w:rsidRPr="0079429A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onfiguration for IAB-DU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’s</w:t>
      </w:r>
      <w:r w:rsidRPr="005E556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parameters</w:t>
      </w:r>
    </w:p>
    <w:tbl>
      <w:tblPr>
        <w:tblW w:w="9663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3"/>
      </w:tblGrid>
      <w:tr w:rsidR="00A34A2D" w14:paraId="224FC449" w14:textId="77777777" w:rsidTr="00A34A2D">
        <w:trPr>
          <w:trHeight w:val="1388"/>
        </w:trPr>
        <w:tc>
          <w:tcPr>
            <w:tcW w:w="9663" w:type="dxa"/>
          </w:tcPr>
          <w:p w14:paraId="6A34D2CF" w14:textId="77777777" w:rsidR="00A34A2D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AN3 117-e:</w:t>
            </w:r>
          </w:p>
          <w:p w14:paraId="078849DC" w14:textId="77777777" w:rsidR="00A34A2D" w:rsidRPr="0001682C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1682C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whether a mobile IAB node may be configured with multiple configurations, each corresponding to a different target donor, that can be activated upon fulfillment of certain condition(s). The details of the configurations are FFS.</w:t>
            </w:r>
          </w:p>
          <w:p w14:paraId="12863DAA" w14:textId="77777777" w:rsidR="00A34A2D" w:rsidRPr="004877E1" w:rsidRDefault="00A34A2D" w:rsidP="00830B7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AN3 117bis-e:</w:t>
            </w:r>
          </w:p>
          <w:p w14:paraId="7C71517B" w14:textId="75CD7537" w:rsidR="00A34A2D" w:rsidRPr="00A34A2D" w:rsidRDefault="00A34A2D" w:rsidP="00830B7D">
            <w:pPr>
              <w:pStyle w:val="af3"/>
              <w:spacing w:before="0" w:beforeAutospacing="0" w:after="0" w:afterAutospacing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</w:tc>
      </w:tr>
    </w:tbl>
    <w:p w14:paraId="6929EDDF" w14:textId="77777777" w:rsidR="00A34A2D" w:rsidRPr="00197613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P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re-configuration at the mobile IAB-node may have some advantages to reduce the latency during IAB-DU migration or full migration, especially for the case of regular trajectory or predicable trajectory of mobile IAB-node. In addition, only some relative-static paraments could </w:t>
      </w:r>
      <w:proofErr w:type="gramStart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be considered to be</w:t>
      </w:r>
      <w:proofErr w:type="gramEnd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pre-configured at the mobile IAB-node, otherwise, it’s meaningless and the pre-configured parameters may be already outdated by the time they are used which led to extra overhead. As an example, at least the TNL address(es) of IAB-DU and target IAB-donor-CU, and NCGI of IAB-DU can be pre-stored at the mobile IAB-node to accelerate the F1 setup between second logical IAB-DU and target IAB-donor-CU. </w:t>
      </w:r>
    </w:p>
    <w:p w14:paraId="43DA10D9" w14:textId="1C090103" w:rsidR="00A34A2D" w:rsidRPr="00A34A2D" w:rsidRDefault="00A34A2D" w:rsidP="00A34A2D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DC4568" w14:paraId="69C7D5DA" w14:textId="77777777" w:rsidTr="00113E65">
        <w:trPr>
          <w:trHeight w:val="480"/>
        </w:trPr>
        <w:tc>
          <w:tcPr>
            <w:tcW w:w="9643" w:type="dxa"/>
          </w:tcPr>
          <w:p w14:paraId="13B8BEEE" w14:textId="77777777" w:rsidR="00A34A2D" w:rsidRPr="00DD4C3D" w:rsidRDefault="00A34A2D" w:rsidP="00A34A2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B15F5D" w14:textId="5BA424C3" w:rsidR="00A34A2D" w:rsidRDefault="00A34A2D" w:rsidP="00A34A2D">
            <w:pPr>
              <w:widowControl/>
              <w:spacing w:after="120"/>
              <w:jc w:val="left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With respect to </w:t>
            </w:r>
            <w:proofErr w:type="spellStart"/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mIAB</w:t>
            </w:r>
            <w:proofErr w:type="spellEnd"/>
            <w:r w:rsidRPr="004B728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-DU migration and partial migration, RAN3 to discuss how the mobile IAB-DU’s parameters are (re-)configured.</w:t>
            </w:r>
          </w:p>
          <w:p w14:paraId="43232C99" w14:textId="1BB0A4D7" w:rsidR="00A34A2D" w:rsidRPr="00A34A2D" w:rsidRDefault="00A34A2D" w:rsidP="00A34A2D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4877E1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AN3 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9bis-e</w:t>
            </w:r>
            <w:r w:rsidRPr="004877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55C8786" w14:textId="4C315C5E" w:rsidR="00DC4568" w:rsidRPr="00DC4568" w:rsidRDefault="00DC4568" w:rsidP="00A34A2D">
            <w:pPr>
              <w:widowControl/>
              <w:spacing w:after="120"/>
              <w:jc w:val="left"/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</w:pPr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For DU-migration, the target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 xml:space="preserve">-DU-cell’s NCGI can be configured via OAM and optionally (re-)configured by the target </w:t>
            </w:r>
            <w:proofErr w:type="spellStart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mIAB</w:t>
            </w:r>
            <w:proofErr w:type="spellEnd"/>
            <w:r w:rsidRPr="00DB7DF3">
              <w:rPr>
                <w:rFonts w:ascii="Calibri" w:eastAsia="宋体" w:hAnsi="Calibri" w:cs="Calibri"/>
                <w:b/>
                <w:bCs/>
                <w:color w:val="0000FF"/>
                <w:kern w:val="0"/>
                <w:sz w:val="18"/>
                <w:szCs w:val="20"/>
              </w:rPr>
              <w:t>-DU’s CU when NCGI confliction happens?</w:t>
            </w:r>
          </w:p>
        </w:tc>
      </w:tr>
    </w:tbl>
    <w:p w14:paraId="0723E21A" w14:textId="77777777" w:rsidR="00A34A2D" w:rsidRPr="00197613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However, for the mobile IAB-node, the target IAB-donor-CU may be unpredictable due to the random mobility of mobile IAB-node, and in this case, pre-configuration at the IAB-DU may not feasible.</w:t>
      </w:r>
    </w:p>
    <w:p w14:paraId="06A5C2A9" w14:textId="20A145B6" w:rsidR="00A34A2D" w:rsidRPr="00197613" w:rsidRDefault="00A34A2D" w:rsidP="00A34A2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or NCGI of IAB-DU, as legacy, it’s configured by OAM and is changed when the F1-terminating IAB-donor-CU of the IAB-DU is changed. OAM based reconfiguration may cause extra latency. To accommodate frequent NCGI change of IAB-DU</w:t>
      </w:r>
      <w:r w:rsidR="00AA4A48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NCGI confliction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due to IAB-node mobility, IAB-donor-CU based reconfiguration for NCGI is more flexible. </w:t>
      </w:r>
    </w:p>
    <w:p w14:paraId="60EB29D8" w14:textId="0B393DE0" w:rsidR="00F26293" w:rsidRDefault="00A34A2D" w:rsidP="00BB3724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F1-terminating IAB-donor-CU can reconfigure the NCGI of IAB-DU.</w:t>
      </w:r>
    </w:p>
    <w:p w14:paraId="156F78F0" w14:textId="5C373786" w:rsidR="0068320E" w:rsidRPr="0068320E" w:rsidRDefault="00F26EF7" w:rsidP="0068320E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197613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Fixed IAB-node handover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11"/>
      </w:tblGrid>
      <w:tr w:rsidR="0068320E" w14:paraId="77630A0F" w14:textId="77777777" w:rsidTr="00FD2BD9">
        <w:trPr>
          <w:trHeight w:val="2204"/>
        </w:trPr>
        <w:tc>
          <w:tcPr>
            <w:tcW w:w="9611" w:type="dxa"/>
          </w:tcPr>
          <w:p w14:paraId="1328472B" w14:textId="4237B435" w:rsidR="00FF7A0B" w:rsidRDefault="00FF7A0B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AN2 119-e:</w:t>
            </w:r>
          </w:p>
          <w:p w14:paraId="6E093430" w14:textId="3A7AC50E" w:rsidR="00FF7A0B" w:rsidRPr="00FF7A0B" w:rsidRDefault="00FF7A0B" w:rsidP="00FF7A0B">
            <w:pPr>
              <w:pStyle w:val="Agreement"/>
              <w:tabs>
                <w:tab w:val="num" w:pos="1619"/>
              </w:tabs>
              <w:spacing w:before="120"/>
              <w:ind w:left="357" w:hanging="357"/>
            </w:pPr>
            <w:bookmarkStart w:id="5" w:name="_Hlk127190955"/>
            <w:r>
              <w:t>The method of</w:t>
            </w:r>
            <w:r w:rsidRPr="00A05FEE">
              <w:t xml:space="preserve"> </w:t>
            </w:r>
            <w:r>
              <w:t xml:space="preserve">not </w:t>
            </w:r>
            <w:r w:rsidRPr="00A05FEE">
              <w:t>broadcast</w:t>
            </w:r>
            <w:r>
              <w:t>ing</w:t>
            </w:r>
            <w:r w:rsidRPr="00A05FEE">
              <w:t xml:space="preserve"> “</w:t>
            </w:r>
            <w:proofErr w:type="spellStart"/>
            <w:r w:rsidRPr="00A05FEE">
              <w:t>iab</w:t>
            </w:r>
            <w:proofErr w:type="spellEnd"/>
            <w:r w:rsidRPr="00A05FEE">
              <w:t>-Support”</w:t>
            </w:r>
            <w:r>
              <w:t xml:space="preserve"> indication, is sufficient to prevent other IAB-</w:t>
            </w:r>
            <w:r w:rsidRPr="0015245E">
              <w:t>node from accessing</w:t>
            </w:r>
            <w:r>
              <w:t xml:space="preserve"> mobile </w:t>
            </w:r>
            <w:r w:rsidRPr="00A05FEE">
              <w:t>IAB</w:t>
            </w:r>
            <w:r>
              <w:t xml:space="preserve"> (without further spec impact). </w:t>
            </w:r>
            <w:bookmarkEnd w:id="5"/>
          </w:p>
          <w:p w14:paraId="355BAA04" w14:textId="77124685" w:rsidR="00FF7A0B" w:rsidRPr="00197613" w:rsidRDefault="00D461C3" w:rsidP="00D461C3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613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AN2 121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bis-e</w:t>
            </w:r>
            <w:r w:rsidRPr="001976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CF969F8" w14:textId="3D2AA18C" w:rsidR="0068320E" w:rsidRPr="0068320E" w:rsidRDefault="0068320E" w:rsidP="00D461C3">
            <w:pPr>
              <w:pStyle w:val="Agreement"/>
              <w:tabs>
                <w:tab w:val="num" w:pos="1619"/>
              </w:tabs>
              <w:spacing w:before="120"/>
              <w:ind w:left="357" w:hanging="357"/>
              <w:rPr>
                <w:rFonts w:ascii="Times New Roman" w:eastAsia="Times New Roman" w:hAnsi="Times New Roman"/>
                <w:szCs w:val="20"/>
              </w:rPr>
            </w:pPr>
            <w:r w:rsidRPr="00252CBB">
              <w:t>R2 assumes that a mobile IAB node is not required to receive the system information of neighbour cells for reporting of measurements (</w:t>
            </w:r>
            <w:proofErr w:type="gramStart"/>
            <w:r w:rsidRPr="00252CBB">
              <w:t>i.e.</w:t>
            </w:r>
            <w:proofErr w:type="gramEnd"/>
            <w:r w:rsidRPr="00252CBB">
              <w:t xml:space="preserve"> it will not refrain from</w:t>
            </w:r>
            <w:bookmarkStart w:id="6" w:name="_Hlk134539669"/>
            <w:r w:rsidRPr="00252CBB">
              <w:t xml:space="preserve"> reporting measurements of cells that are not broadcasting the “mobile </w:t>
            </w:r>
            <w:proofErr w:type="spellStart"/>
            <w:r w:rsidRPr="00252CBB">
              <w:t>iab</w:t>
            </w:r>
            <w:proofErr w:type="spellEnd"/>
            <w:r w:rsidRPr="00252CBB">
              <w:t xml:space="preserve"> Support” indication</w:t>
            </w:r>
            <w:bookmarkEnd w:id="6"/>
            <w:r w:rsidRPr="00252CBB">
              <w:t xml:space="preserve">, and this is </w:t>
            </w:r>
            <w:proofErr w:type="spellStart"/>
            <w:r w:rsidRPr="00252CBB">
              <w:t>acc</w:t>
            </w:r>
            <w:proofErr w:type="spellEnd"/>
            <w:r w:rsidRPr="00252CBB">
              <w:t xml:space="preserve"> to current R2 TS).</w:t>
            </w:r>
          </w:p>
        </w:tc>
      </w:tr>
    </w:tbl>
    <w:p w14:paraId="605960B4" w14:textId="7085B5C8" w:rsidR="00AC00B6" w:rsidRPr="00197613" w:rsidRDefault="00E44D1E" w:rsidP="006D398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mobile IAB-node, 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t should have no descendent IAB-nodes and only serve for UEs as defined in the WID.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22D67"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n RAN2 119 e-meeting, RAN2 has agreed that the method of not broadcasting “</w:t>
      </w:r>
      <w:proofErr w:type="spellStart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sufficient to prevent other IAB-node from accessing mobile IAB</w:t>
      </w:r>
      <w:r w:rsidR="00D54D25" w:rsidRPr="00197613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622D6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B7B60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 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proofErr w:type="spellStart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indication is only applied for IAB-node integration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696348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7A0B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in last RAN2 121bis e-meeting, RAN2 has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assumed not to refrain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reporting measurements of 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mobile IAB </w:t>
      </w:r>
      <w:r w:rsidR="00E46725" w:rsidRPr="00E46725">
        <w:rPr>
          <w:rFonts w:ascii="Times New Roman" w:eastAsia="宋体" w:hAnsi="Times New Roman" w:cs="Times New Roman"/>
          <w:kern w:val="0"/>
          <w:sz w:val="20"/>
          <w:szCs w:val="20"/>
        </w:rPr>
        <w:t>cells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467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83E5D">
        <w:rPr>
          <w:rFonts w:ascii="Times New Roman" w:eastAsia="宋体" w:hAnsi="Times New Roman" w:cs="Times New Roman"/>
          <w:kern w:val="0"/>
          <w:sz w:val="20"/>
          <w:szCs w:val="20"/>
        </w:rPr>
        <w:t xml:space="preserve">So, 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>it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avoid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a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4B69DF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configure measurement to an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with a potential cell belong</w:t>
      </w:r>
      <w:r w:rsidR="006362C0" w:rsidRPr="00197613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IAB-node, and the source IAB-donor-CU </w:t>
      </w:r>
      <w:r w:rsidR="003266D9" w:rsidRPr="00197613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trigger handover 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the IAB-node </w:t>
      </w:r>
      <w:r w:rsidR="00B30954" w:rsidRPr="00197613">
        <w:rPr>
          <w:rFonts w:ascii="Times New Roman" w:eastAsia="宋体" w:hAnsi="Times New Roman" w:cs="Times New Roman"/>
          <w:kern w:val="0"/>
          <w:sz w:val="20"/>
          <w:szCs w:val="20"/>
        </w:rPr>
        <w:t>to the mobile IAB-node cell</w:t>
      </w:r>
      <w:r w:rsidR="008E6E84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source IAB-donor-CU of a 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fixed 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should </w:t>
      </w:r>
      <w:r w:rsidR="00682CE1" w:rsidRPr="00197613">
        <w:rPr>
          <w:rFonts w:ascii="Times New Roman" w:eastAsia="宋体" w:hAnsi="Times New Roman" w:cs="Times New Roman"/>
          <w:kern w:val="0"/>
          <w:sz w:val="20"/>
          <w:szCs w:val="20"/>
        </w:rPr>
        <w:t>be aware of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whether the potential target cell belong</w:t>
      </w:r>
      <w:r w:rsidR="00851A97" w:rsidRPr="00197613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mobile IAB-node</w:t>
      </w:r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</w:t>
      </w:r>
      <w:proofErr w:type="spellStart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1D18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message</w:t>
      </w:r>
      <w:r w:rsidR="00E01663" w:rsidRPr="0019761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6C09D6A" w14:textId="769C9825" w:rsidR="00E01663" w:rsidRPr="00197613" w:rsidRDefault="00E01663" w:rsidP="00E0166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7" w:name="OLE_LINK14"/>
      <w:r w:rsidRPr="0019761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1D18F3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Source IAB-donor-CU of a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fixed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IAB-node should </w:t>
      </w:r>
      <w:r w:rsidR="00682CE1" w:rsidRPr="00197613">
        <w:rPr>
          <w:rFonts w:ascii="Times New Roman" w:hAnsi="Times New Roman" w:cs="Times New Roman"/>
          <w:b/>
          <w:bCs/>
          <w:sz w:val="20"/>
          <w:szCs w:val="20"/>
        </w:rPr>
        <w:t>be aware of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="00851A97"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 w:rsidR="001D18F3"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 w:rsidR="001D18F3"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bookmarkEnd w:id="7"/>
    <w:p w14:paraId="514C599A" w14:textId="77777777" w:rsidR="001D18F3" w:rsidRPr="006D398E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Supporting mobile IAB-node indication</w:t>
      </w:r>
    </w:p>
    <w:p w14:paraId="791641F5" w14:textId="77777777" w:rsidR="001D18F3" w:rsidRPr="00197613" w:rsidRDefault="001D18F3" w:rsidP="001D18F3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Because legacy R16/R17 IAB-donors or parent IAB-nodes may not support the functionalities and characters that will be introduced by the R18 mobile IAB, it’s not a good choice for the R18 mobile IAB-node to always camp on a legacy R16/R17 IAB-donor or parent IAB-node. Therefore, to assist the mobile IAB-node access to a suitable IAB-donor or parent IAB-node, a “mobile-IAB-Support” IE can be introduced in SIB1 just as the “</w:t>
      </w:r>
      <w:proofErr w:type="spellStart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proofErr w:type="spellEnd"/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-Support” IE in R16.</w:t>
      </w:r>
      <w:r w:rsidRPr="0019761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197613">
        <w:rPr>
          <w:rFonts w:ascii="Times New Roman" w:eastAsia="宋体" w:hAnsi="Times New Roman" w:cs="Times New Roman"/>
          <w:kern w:val="0"/>
          <w:sz w:val="20"/>
          <w:szCs w:val="20"/>
        </w:rPr>
        <w:t>And in RAN2 meeting, RAN2 assumes "supporting mobile-IAB" indication is provided by Rel-18 Mobile IAB capable parent cell. Therefore, IAB-donor-CU needs to configure whether each cell of fixed parent node IAB-DU or IAB-donor-DU is mobile-IAB-supported or not.</w:t>
      </w:r>
    </w:p>
    <w:p w14:paraId="65ED4C1D" w14:textId="2488D565" w:rsidR="001D18F3" w:rsidRPr="00197613" w:rsidRDefault="001D18F3" w:rsidP="001D18F3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57EFC27" w14:textId="77777777" w:rsidR="00D764EB" w:rsidRPr="005A6844" w:rsidRDefault="00D764EB" w:rsidP="00D764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An explicit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Node Indication is contained in the </w:t>
      </w:r>
      <w:proofErr w:type="spellStart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5A684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152CA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source IAB-donor to target IAB-donor.</w:t>
      </w:r>
    </w:p>
    <w:p w14:paraId="239C5E4E" w14:textId="77777777" w:rsidR="00D764EB" w:rsidRPr="00F26293" w:rsidRDefault="00D764EB" w:rsidP="00D764E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</w:pPr>
      <w:r w:rsidRPr="005A6844">
        <w:rPr>
          <w:rFonts w:ascii="Times New Roman" w:eastAsia="等线" w:hAnsi="Times New Roman" w:cs="Times New Roman" w:hint="eastAsia"/>
          <w:b/>
          <w:bCs/>
          <w:snapToGrid w:val="0"/>
          <w:kern w:val="0"/>
          <w:sz w:val="20"/>
          <w:szCs w:val="20"/>
          <w:lang w:val="en-GB"/>
        </w:rPr>
        <w:t>P</w:t>
      </w:r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roposal 2: An explicit </w:t>
      </w:r>
      <w:proofErr w:type="spellStart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>mIAB</w:t>
      </w:r>
      <w:proofErr w:type="spellEnd"/>
      <w:r w:rsidRPr="005A6844">
        <w:rPr>
          <w:rFonts w:ascii="Times New Roman" w:eastAsia="等线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Authorized IE is contained in the NGAP </w:t>
      </w:r>
      <w:r w:rsidRPr="00443675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>HANDOVER REQUEST message</w:t>
      </w:r>
      <w:r w:rsidRPr="005A6844">
        <w:rPr>
          <w:rFonts w:ascii="Times New Roman" w:eastAsia="宋体" w:hAnsi="Times New Roman" w:cs="Times New Roman"/>
          <w:b/>
          <w:bCs/>
          <w:snapToGrid w:val="0"/>
          <w:kern w:val="0"/>
          <w:sz w:val="20"/>
          <w:szCs w:val="20"/>
          <w:lang w:val="en-GB"/>
        </w:rPr>
        <w:t xml:space="preserve"> from AMF to target IAB-donor.</w:t>
      </w:r>
    </w:p>
    <w:p w14:paraId="40DA8CCF" w14:textId="77777777" w:rsidR="00D764EB" w:rsidRPr="00A34A2D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The TNL address(es) of IAB-DU and target IAB-donor-CU, and NCGI of IAB-DU can be pre-configured at the mobile IAB-node in case of determined trajectory. </w:t>
      </w:r>
    </w:p>
    <w:p w14:paraId="1B58BD10" w14:textId="77777777" w:rsidR="00D764EB" w:rsidRPr="00040CD5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F1-terminating IAB-donor-CU can reconfigure the NCGI of IAB-DU.</w:t>
      </w:r>
    </w:p>
    <w:p w14:paraId="3659DCD0" w14:textId="77777777" w:rsidR="00D764EB" w:rsidRPr="00197613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: Source IAB-donor-CU of a fixed IAB-node should be aware of whether potential 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>target cell belong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197613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to a mobile IAB-node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via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078F4C6" w14:textId="77777777" w:rsidR="00D764EB" w:rsidRPr="00197613" w:rsidRDefault="00D764EB" w:rsidP="00D764EB">
      <w:pPr>
        <w:pStyle w:val="af3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761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197613">
        <w:rPr>
          <w:rFonts w:ascii="Times New Roman" w:hAnsi="Times New Roman" w:cs="Times New Roman"/>
          <w:b/>
          <w:bCs/>
          <w:sz w:val="20"/>
          <w:szCs w:val="20"/>
        </w:rPr>
        <w:t>: IAB-donor-CU configures whether each cell of fixed parent node IAB-DU or IAB-donor-DU is mobile-IAB-supported.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2"/>
    <w:bookmarkEnd w:id="3"/>
    <w:p w14:paraId="17AF3434" w14:textId="49014A6A" w:rsidR="00C45DB2" w:rsidRPr="00FD44EF" w:rsidRDefault="00FD44EF" w:rsidP="00FD44E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</w:t>
      </w:r>
      <w:proofErr w:type="spellStart"/>
      <w:r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3AFE79D5" w14:textId="623DD63D" w:rsidR="00631179" w:rsidRPr="00172EAD" w:rsidRDefault="004623EC" w:rsidP="0063117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119</w:t>
      </w:r>
      <w:r w:rsidR="002E2E3D">
        <w:rPr>
          <w:rFonts w:ascii="Times New Roman" w:eastAsia="宋体" w:hAnsi="Times New Roman" w:cs="Times New Roman"/>
          <w:kern w:val="0"/>
          <w:sz w:val="20"/>
          <w:lang w:val="x-none"/>
        </w:rPr>
        <w:t>bis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DD4C3D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631179" w:rsidRPr="00172EAD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1855D" w14:textId="77777777" w:rsidR="004A2BF7" w:rsidRDefault="004A2BF7" w:rsidP="00AA3FAE">
      <w:r>
        <w:separator/>
      </w:r>
    </w:p>
  </w:endnote>
  <w:endnote w:type="continuationSeparator" w:id="0">
    <w:p w14:paraId="6F934B73" w14:textId="77777777" w:rsidR="004A2BF7" w:rsidRDefault="004A2BF7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93FAA" w14:textId="77777777" w:rsidR="004A2BF7" w:rsidRDefault="004A2BF7" w:rsidP="00AA3FAE">
      <w:r>
        <w:separator/>
      </w:r>
    </w:p>
  </w:footnote>
  <w:footnote w:type="continuationSeparator" w:id="0">
    <w:p w14:paraId="7B9F69C7" w14:textId="77777777" w:rsidR="004A2BF7" w:rsidRDefault="004A2BF7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2"/>
  </w:num>
  <w:num w:numId="2" w16cid:durableId="1172791761">
    <w:abstractNumId w:val="5"/>
  </w:num>
  <w:num w:numId="3" w16cid:durableId="1866753295">
    <w:abstractNumId w:val="6"/>
  </w:num>
  <w:num w:numId="4" w16cid:durableId="85273210">
    <w:abstractNumId w:val="8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9"/>
  </w:num>
  <w:num w:numId="8" w16cid:durableId="1018387535">
    <w:abstractNumId w:val="3"/>
  </w:num>
  <w:num w:numId="9" w16cid:durableId="1758676206">
    <w:abstractNumId w:val="7"/>
  </w:num>
  <w:num w:numId="10" w16cid:durableId="1667636920">
    <w:abstractNumId w:val="4"/>
  </w:num>
  <w:num w:numId="11" w16cid:durableId="15039790">
    <w:abstractNumId w:val="8"/>
  </w:num>
  <w:num w:numId="12" w16cid:durableId="1361584663">
    <w:abstractNumId w:val="8"/>
  </w:num>
  <w:num w:numId="13" w16cid:durableId="1258557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2113"/>
    <w:rsid w:val="000024F1"/>
    <w:rsid w:val="00006F15"/>
    <w:rsid w:val="0000703A"/>
    <w:rsid w:val="00011F5D"/>
    <w:rsid w:val="000165E4"/>
    <w:rsid w:val="0001682C"/>
    <w:rsid w:val="00017A52"/>
    <w:rsid w:val="00022004"/>
    <w:rsid w:val="00022A6F"/>
    <w:rsid w:val="000260B3"/>
    <w:rsid w:val="000302F2"/>
    <w:rsid w:val="000306D0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389E"/>
    <w:rsid w:val="00046943"/>
    <w:rsid w:val="00047E11"/>
    <w:rsid w:val="000505CB"/>
    <w:rsid w:val="00050999"/>
    <w:rsid w:val="000566E1"/>
    <w:rsid w:val="00060A16"/>
    <w:rsid w:val="000613CF"/>
    <w:rsid w:val="000637B7"/>
    <w:rsid w:val="000664F5"/>
    <w:rsid w:val="0006683B"/>
    <w:rsid w:val="00067403"/>
    <w:rsid w:val="000700EE"/>
    <w:rsid w:val="00070D39"/>
    <w:rsid w:val="00072D31"/>
    <w:rsid w:val="0007335E"/>
    <w:rsid w:val="00074B1C"/>
    <w:rsid w:val="0007544B"/>
    <w:rsid w:val="00082040"/>
    <w:rsid w:val="00083ECB"/>
    <w:rsid w:val="00086B95"/>
    <w:rsid w:val="000874BB"/>
    <w:rsid w:val="00095520"/>
    <w:rsid w:val="00096792"/>
    <w:rsid w:val="0009781A"/>
    <w:rsid w:val="000A0A57"/>
    <w:rsid w:val="000A18DF"/>
    <w:rsid w:val="000A3D7E"/>
    <w:rsid w:val="000B1D18"/>
    <w:rsid w:val="000B557A"/>
    <w:rsid w:val="000B6595"/>
    <w:rsid w:val="000B7C20"/>
    <w:rsid w:val="000C0937"/>
    <w:rsid w:val="000C15D9"/>
    <w:rsid w:val="000C1958"/>
    <w:rsid w:val="000C3F89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4D5"/>
    <w:rsid w:val="000E61B1"/>
    <w:rsid w:val="000E651D"/>
    <w:rsid w:val="000E706D"/>
    <w:rsid w:val="000F0260"/>
    <w:rsid w:val="000F0785"/>
    <w:rsid w:val="000F6A9D"/>
    <w:rsid w:val="00100689"/>
    <w:rsid w:val="00101812"/>
    <w:rsid w:val="0010237A"/>
    <w:rsid w:val="00103F6F"/>
    <w:rsid w:val="00104AE3"/>
    <w:rsid w:val="00111B28"/>
    <w:rsid w:val="00113355"/>
    <w:rsid w:val="00113E65"/>
    <w:rsid w:val="0011469E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4A9A"/>
    <w:rsid w:val="00134C0A"/>
    <w:rsid w:val="001353CD"/>
    <w:rsid w:val="00144D1D"/>
    <w:rsid w:val="00145DD8"/>
    <w:rsid w:val="00152CA4"/>
    <w:rsid w:val="0015523D"/>
    <w:rsid w:val="001556FC"/>
    <w:rsid w:val="00155F87"/>
    <w:rsid w:val="0016033B"/>
    <w:rsid w:val="00161A1A"/>
    <w:rsid w:val="001623DF"/>
    <w:rsid w:val="0017256C"/>
    <w:rsid w:val="00172D96"/>
    <w:rsid w:val="00172EAD"/>
    <w:rsid w:val="0017587A"/>
    <w:rsid w:val="001847E8"/>
    <w:rsid w:val="00190FAF"/>
    <w:rsid w:val="0019486E"/>
    <w:rsid w:val="0019499C"/>
    <w:rsid w:val="00197613"/>
    <w:rsid w:val="001A1855"/>
    <w:rsid w:val="001A2383"/>
    <w:rsid w:val="001A260F"/>
    <w:rsid w:val="001A38C6"/>
    <w:rsid w:val="001A44C7"/>
    <w:rsid w:val="001B31AB"/>
    <w:rsid w:val="001C0436"/>
    <w:rsid w:val="001C0F1D"/>
    <w:rsid w:val="001C3355"/>
    <w:rsid w:val="001C3A1E"/>
    <w:rsid w:val="001C41B0"/>
    <w:rsid w:val="001D18F3"/>
    <w:rsid w:val="001D1A86"/>
    <w:rsid w:val="001D279D"/>
    <w:rsid w:val="001D64DD"/>
    <w:rsid w:val="001F0325"/>
    <w:rsid w:val="001F03D3"/>
    <w:rsid w:val="001F1C18"/>
    <w:rsid w:val="001F34D3"/>
    <w:rsid w:val="001F5824"/>
    <w:rsid w:val="00202146"/>
    <w:rsid w:val="0020327D"/>
    <w:rsid w:val="002070BF"/>
    <w:rsid w:val="00213791"/>
    <w:rsid w:val="002164AC"/>
    <w:rsid w:val="0022248C"/>
    <w:rsid w:val="00222F62"/>
    <w:rsid w:val="002271C5"/>
    <w:rsid w:val="00227B13"/>
    <w:rsid w:val="00230B9F"/>
    <w:rsid w:val="00232519"/>
    <w:rsid w:val="0023595E"/>
    <w:rsid w:val="00236927"/>
    <w:rsid w:val="00236C33"/>
    <w:rsid w:val="002402B0"/>
    <w:rsid w:val="002420BA"/>
    <w:rsid w:val="0024433A"/>
    <w:rsid w:val="00245E3F"/>
    <w:rsid w:val="002500C6"/>
    <w:rsid w:val="0025021B"/>
    <w:rsid w:val="00251576"/>
    <w:rsid w:val="00252938"/>
    <w:rsid w:val="00256265"/>
    <w:rsid w:val="00261529"/>
    <w:rsid w:val="00263E38"/>
    <w:rsid w:val="00267A8C"/>
    <w:rsid w:val="00277010"/>
    <w:rsid w:val="00281EF8"/>
    <w:rsid w:val="00283294"/>
    <w:rsid w:val="00286C7E"/>
    <w:rsid w:val="0029202E"/>
    <w:rsid w:val="00292747"/>
    <w:rsid w:val="00292940"/>
    <w:rsid w:val="00294BCA"/>
    <w:rsid w:val="00296522"/>
    <w:rsid w:val="002A5557"/>
    <w:rsid w:val="002A67AC"/>
    <w:rsid w:val="002A6985"/>
    <w:rsid w:val="002A7108"/>
    <w:rsid w:val="002B09B0"/>
    <w:rsid w:val="002B23C1"/>
    <w:rsid w:val="002B42E0"/>
    <w:rsid w:val="002B61AB"/>
    <w:rsid w:val="002B7FB5"/>
    <w:rsid w:val="002C1BFE"/>
    <w:rsid w:val="002C6DA5"/>
    <w:rsid w:val="002D370E"/>
    <w:rsid w:val="002D68AD"/>
    <w:rsid w:val="002D6F0D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F0CB9"/>
    <w:rsid w:val="002F19C1"/>
    <w:rsid w:val="002F231B"/>
    <w:rsid w:val="002F4481"/>
    <w:rsid w:val="002F49BB"/>
    <w:rsid w:val="002F7DD1"/>
    <w:rsid w:val="00300908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2F2C"/>
    <w:rsid w:val="0036486D"/>
    <w:rsid w:val="00364AC3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76B5"/>
    <w:rsid w:val="003A0B1A"/>
    <w:rsid w:val="003A2EE2"/>
    <w:rsid w:val="003A4A2A"/>
    <w:rsid w:val="003A5735"/>
    <w:rsid w:val="003A65A3"/>
    <w:rsid w:val="003B170E"/>
    <w:rsid w:val="003B4C4B"/>
    <w:rsid w:val="003B6157"/>
    <w:rsid w:val="003C0F48"/>
    <w:rsid w:val="003C172B"/>
    <w:rsid w:val="003C333E"/>
    <w:rsid w:val="003C49ED"/>
    <w:rsid w:val="003C6CEF"/>
    <w:rsid w:val="003D0D01"/>
    <w:rsid w:val="003D283B"/>
    <w:rsid w:val="003D535D"/>
    <w:rsid w:val="003F1954"/>
    <w:rsid w:val="003F22E5"/>
    <w:rsid w:val="003F2D27"/>
    <w:rsid w:val="003F2E3B"/>
    <w:rsid w:val="003F5217"/>
    <w:rsid w:val="003F6498"/>
    <w:rsid w:val="00402DFA"/>
    <w:rsid w:val="0040415F"/>
    <w:rsid w:val="00404D86"/>
    <w:rsid w:val="0040527B"/>
    <w:rsid w:val="00405361"/>
    <w:rsid w:val="00410D54"/>
    <w:rsid w:val="004139B5"/>
    <w:rsid w:val="004139F0"/>
    <w:rsid w:val="00415D56"/>
    <w:rsid w:val="00417185"/>
    <w:rsid w:val="00420583"/>
    <w:rsid w:val="00431BB4"/>
    <w:rsid w:val="0043789D"/>
    <w:rsid w:val="00443675"/>
    <w:rsid w:val="00445267"/>
    <w:rsid w:val="00454F9D"/>
    <w:rsid w:val="004561FF"/>
    <w:rsid w:val="00457A21"/>
    <w:rsid w:val="00461164"/>
    <w:rsid w:val="004623EC"/>
    <w:rsid w:val="0046367F"/>
    <w:rsid w:val="004646DC"/>
    <w:rsid w:val="00466979"/>
    <w:rsid w:val="00466AC4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440"/>
    <w:rsid w:val="004877E1"/>
    <w:rsid w:val="00487DC1"/>
    <w:rsid w:val="00492D36"/>
    <w:rsid w:val="00493281"/>
    <w:rsid w:val="004958CF"/>
    <w:rsid w:val="00496C05"/>
    <w:rsid w:val="004A0380"/>
    <w:rsid w:val="004A2BF7"/>
    <w:rsid w:val="004A40B8"/>
    <w:rsid w:val="004A7B5F"/>
    <w:rsid w:val="004B04C5"/>
    <w:rsid w:val="004B3030"/>
    <w:rsid w:val="004B5B72"/>
    <w:rsid w:val="004B5BA7"/>
    <w:rsid w:val="004B5F55"/>
    <w:rsid w:val="004B69DF"/>
    <w:rsid w:val="004B7283"/>
    <w:rsid w:val="004C4B68"/>
    <w:rsid w:val="004C753F"/>
    <w:rsid w:val="004D23F2"/>
    <w:rsid w:val="004D4BF9"/>
    <w:rsid w:val="004D54D2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47E6"/>
    <w:rsid w:val="005355E0"/>
    <w:rsid w:val="00535D8C"/>
    <w:rsid w:val="00542A22"/>
    <w:rsid w:val="005508EC"/>
    <w:rsid w:val="00550D47"/>
    <w:rsid w:val="005516DB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A0141"/>
    <w:rsid w:val="005A6844"/>
    <w:rsid w:val="005A7AB9"/>
    <w:rsid w:val="005A7B59"/>
    <w:rsid w:val="005B216A"/>
    <w:rsid w:val="005B4B3A"/>
    <w:rsid w:val="005B58A7"/>
    <w:rsid w:val="005B7597"/>
    <w:rsid w:val="005C0D8A"/>
    <w:rsid w:val="005C49AB"/>
    <w:rsid w:val="005C686B"/>
    <w:rsid w:val="005C6B58"/>
    <w:rsid w:val="005C6EEA"/>
    <w:rsid w:val="005D003D"/>
    <w:rsid w:val="005D1AED"/>
    <w:rsid w:val="005D5C6C"/>
    <w:rsid w:val="005E197D"/>
    <w:rsid w:val="005E555C"/>
    <w:rsid w:val="005E5569"/>
    <w:rsid w:val="005E7BCB"/>
    <w:rsid w:val="00600820"/>
    <w:rsid w:val="00602419"/>
    <w:rsid w:val="006040E0"/>
    <w:rsid w:val="00604CC3"/>
    <w:rsid w:val="00605573"/>
    <w:rsid w:val="00607C4A"/>
    <w:rsid w:val="00612ED9"/>
    <w:rsid w:val="00621C13"/>
    <w:rsid w:val="00622D67"/>
    <w:rsid w:val="006241E8"/>
    <w:rsid w:val="0062438B"/>
    <w:rsid w:val="00625023"/>
    <w:rsid w:val="00625208"/>
    <w:rsid w:val="00626CB0"/>
    <w:rsid w:val="00631179"/>
    <w:rsid w:val="00632A14"/>
    <w:rsid w:val="0063421A"/>
    <w:rsid w:val="006362C0"/>
    <w:rsid w:val="00637F81"/>
    <w:rsid w:val="006424C4"/>
    <w:rsid w:val="006447C8"/>
    <w:rsid w:val="006479A2"/>
    <w:rsid w:val="00653585"/>
    <w:rsid w:val="00661C15"/>
    <w:rsid w:val="00662469"/>
    <w:rsid w:val="00662CC3"/>
    <w:rsid w:val="006660AB"/>
    <w:rsid w:val="00666EA1"/>
    <w:rsid w:val="00670C46"/>
    <w:rsid w:val="006749D1"/>
    <w:rsid w:val="006804B4"/>
    <w:rsid w:val="00682CE1"/>
    <w:rsid w:val="0068320E"/>
    <w:rsid w:val="00683F4C"/>
    <w:rsid w:val="00684A40"/>
    <w:rsid w:val="00687312"/>
    <w:rsid w:val="00687695"/>
    <w:rsid w:val="006916A2"/>
    <w:rsid w:val="00694EC0"/>
    <w:rsid w:val="00696348"/>
    <w:rsid w:val="00696619"/>
    <w:rsid w:val="00696F0C"/>
    <w:rsid w:val="006A2113"/>
    <w:rsid w:val="006A3137"/>
    <w:rsid w:val="006A3783"/>
    <w:rsid w:val="006A53D6"/>
    <w:rsid w:val="006B0FE9"/>
    <w:rsid w:val="006B1416"/>
    <w:rsid w:val="006C0CE7"/>
    <w:rsid w:val="006C1E84"/>
    <w:rsid w:val="006C20A7"/>
    <w:rsid w:val="006C38B0"/>
    <w:rsid w:val="006C50A7"/>
    <w:rsid w:val="006C6455"/>
    <w:rsid w:val="006D1314"/>
    <w:rsid w:val="006D1A36"/>
    <w:rsid w:val="006D2AEE"/>
    <w:rsid w:val="006D398E"/>
    <w:rsid w:val="006D5547"/>
    <w:rsid w:val="006D6F3D"/>
    <w:rsid w:val="006E2F17"/>
    <w:rsid w:val="006E3B4C"/>
    <w:rsid w:val="006E5566"/>
    <w:rsid w:val="006E5A0A"/>
    <w:rsid w:val="006E7CED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209B0"/>
    <w:rsid w:val="00730BC7"/>
    <w:rsid w:val="00732AEF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80AEB"/>
    <w:rsid w:val="00780F22"/>
    <w:rsid w:val="0078172C"/>
    <w:rsid w:val="007846F4"/>
    <w:rsid w:val="00785418"/>
    <w:rsid w:val="00790ED3"/>
    <w:rsid w:val="007A772F"/>
    <w:rsid w:val="007A7E72"/>
    <w:rsid w:val="007B1116"/>
    <w:rsid w:val="007B19E5"/>
    <w:rsid w:val="007B2F30"/>
    <w:rsid w:val="007B3E4D"/>
    <w:rsid w:val="007B47C9"/>
    <w:rsid w:val="007B634D"/>
    <w:rsid w:val="007C1161"/>
    <w:rsid w:val="007C3555"/>
    <w:rsid w:val="007C4A72"/>
    <w:rsid w:val="007D06AC"/>
    <w:rsid w:val="007D0EB2"/>
    <w:rsid w:val="007D2B81"/>
    <w:rsid w:val="007E1B20"/>
    <w:rsid w:val="007E2FA0"/>
    <w:rsid w:val="007F1D60"/>
    <w:rsid w:val="007F2A4D"/>
    <w:rsid w:val="007F2E5B"/>
    <w:rsid w:val="007F7980"/>
    <w:rsid w:val="007F7AF7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B1345"/>
    <w:rsid w:val="008B1CAD"/>
    <w:rsid w:val="008B3A88"/>
    <w:rsid w:val="008B43D4"/>
    <w:rsid w:val="008B4CFB"/>
    <w:rsid w:val="008B6DD3"/>
    <w:rsid w:val="008B7113"/>
    <w:rsid w:val="008B7D21"/>
    <w:rsid w:val="008C26CC"/>
    <w:rsid w:val="008D3D70"/>
    <w:rsid w:val="008D7810"/>
    <w:rsid w:val="008D7D6C"/>
    <w:rsid w:val="008E067B"/>
    <w:rsid w:val="008E0ECE"/>
    <w:rsid w:val="008E4C31"/>
    <w:rsid w:val="008E4EEB"/>
    <w:rsid w:val="008E59A7"/>
    <w:rsid w:val="008E6E84"/>
    <w:rsid w:val="008F063F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4649"/>
    <w:rsid w:val="00924FF3"/>
    <w:rsid w:val="009259CA"/>
    <w:rsid w:val="00925F4D"/>
    <w:rsid w:val="00926DCD"/>
    <w:rsid w:val="00932D3E"/>
    <w:rsid w:val="00943A26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9D8"/>
    <w:rsid w:val="00966288"/>
    <w:rsid w:val="009900C7"/>
    <w:rsid w:val="009912C5"/>
    <w:rsid w:val="00992405"/>
    <w:rsid w:val="009926ED"/>
    <w:rsid w:val="00994662"/>
    <w:rsid w:val="00994907"/>
    <w:rsid w:val="00996310"/>
    <w:rsid w:val="009A28C5"/>
    <w:rsid w:val="009A75A1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7C1"/>
    <w:rsid w:val="009D52B4"/>
    <w:rsid w:val="009D6382"/>
    <w:rsid w:val="009D761B"/>
    <w:rsid w:val="009E44BA"/>
    <w:rsid w:val="009E4AD9"/>
    <w:rsid w:val="009E4D5F"/>
    <w:rsid w:val="009E506A"/>
    <w:rsid w:val="009E707E"/>
    <w:rsid w:val="009E7474"/>
    <w:rsid w:val="009F1156"/>
    <w:rsid w:val="009F1E23"/>
    <w:rsid w:val="009F1F4A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51D78"/>
    <w:rsid w:val="00A53E8A"/>
    <w:rsid w:val="00A601A2"/>
    <w:rsid w:val="00A60302"/>
    <w:rsid w:val="00A63D75"/>
    <w:rsid w:val="00A661E2"/>
    <w:rsid w:val="00A71889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4A48"/>
    <w:rsid w:val="00AA539E"/>
    <w:rsid w:val="00AA70B5"/>
    <w:rsid w:val="00AA7EAE"/>
    <w:rsid w:val="00AB0A5A"/>
    <w:rsid w:val="00AC00B6"/>
    <w:rsid w:val="00AC018E"/>
    <w:rsid w:val="00AC25E2"/>
    <w:rsid w:val="00AC3051"/>
    <w:rsid w:val="00AC44C3"/>
    <w:rsid w:val="00AC553A"/>
    <w:rsid w:val="00AC5A84"/>
    <w:rsid w:val="00AD63A2"/>
    <w:rsid w:val="00AE27CC"/>
    <w:rsid w:val="00AE371C"/>
    <w:rsid w:val="00AE4ACB"/>
    <w:rsid w:val="00AF05F2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364A"/>
    <w:rsid w:val="00B25314"/>
    <w:rsid w:val="00B26539"/>
    <w:rsid w:val="00B26673"/>
    <w:rsid w:val="00B30954"/>
    <w:rsid w:val="00B328E2"/>
    <w:rsid w:val="00B33EE7"/>
    <w:rsid w:val="00B34B5A"/>
    <w:rsid w:val="00B40018"/>
    <w:rsid w:val="00B403D4"/>
    <w:rsid w:val="00B447E6"/>
    <w:rsid w:val="00B46699"/>
    <w:rsid w:val="00B54FE2"/>
    <w:rsid w:val="00B61EB7"/>
    <w:rsid w:val="00B72A52"/>
    <w:rsid w:val="00B74D0D"/>
    <w:rsid w:val="00B82736"/>
    <w:rsid w:val="00B83738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C28F3"/>
    <w:rsid w:val="00BC78CF"/>
    <w:rsid w:val="00BD17DA"/>
    <w:rsid w:val="00BD36A4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6DFF"/>
    <w:rsid w:val="00C00903"/>
    <w:rsid w:val="00C01F59"/>
    <w:rsid w:val="00C05BB5"/>
    <w:rsid w:val="00C11C51"/>
    <w:rsid w:val="00C11F54"/>
    <w:rsid w:val="00C14D58"/>
    <w:rsid w:val="00C156DD"/>
    <w:rsid w:val="00C15F89"/>
    <w:rsid w:val="00C21428"/>
    <w:rsid w:val="00C22AF4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DB2"/>
    <w:rsid w:val="00C53D68"/>
    <w:rsid w:val="00C607C0"/>
    <w:rsid w:val="00C7223F"/>
    <w:rsid w:val="00C72915"/>
    <w:rsid w:val="00C85269"/>
    <w:rsid w:val="00C92F7E"/>
    <w:rsid w:val="00C9525E"/>
    <w:rsid w:val="00C9727F"/>
    <w:rsid w:val="00C975EA"/>
    <w:rsid w:val="00CA267C"/>
    <w:rsid w:val="00CA2C1E"/>
    <w:rsid w:val="00CA2F8B"/>
    <w:rsid w:val="00CA4BEB"/>
    <w:rsid w:val="00CB0896"/>
    <w:rsid w:val="00CB162A"/>
    <w:rsid w:val="00CB3C92"/>
    <w:rsid w:val="00CB432A"/>
    <w:rsid w:val="00CB6749"/>
    <w:rsid w:val="00CB7448"/>
    <w:rsid w:val="00CB7B60"/>
    <w:rsid w:val="00CC31C4"/>
    <w:rsid w:val="00CC614A"/>
    <w:rsid w:val="00CD1838"/>
    <w:rsid w:val="00CD3CA4"/>
    <w:rsid w:val="00CD5BFB"/>
    <w:rsid w:val="00CD79A8"/>
    <w:rsid w:val="00CE123B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1011E"/>
    <w:rsid w:val="00D104F6"/>
    <w:rsid w:val="00D10A73"/>
    <w:rsid w:val="00D13343"/>
    <w:rsid w:val="00D16A9A"/>
    <w:rsid w:val="00D17D74"/>
    <w:rsid w:val="00D224C9"/>
    <w:rsid w:val="00D27582"/>
    <w:rsid w:val="00D27A09"/>
    <w:rsid w:val="00D355CC"/>
    <w:rsid w:val="00D418AD"/>
    <w:rsid w:val="00D461C3"/>
    <w:rsid w:val="00D51E3A"/>
    <w:rsid w:val="00D523ED"/>
    <w:rsid w:val="00D52619"/>
    <w:rsid w:val="00D54D25"/>
    <w:rsid w:val="00D54D42"/>
    <w:rsid w:val="00D57255"/>
    <w:rsid w:val="00D62523"/>
    <w:rsid w:val="00D626EF"/>
    <w:rsid w:val="00D65253"/>
    <w:rsid w:val="00D66FA2"/>
    <w:rsid w:val="00D67F2F"/>
    <w:rsid w:val="00D72997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918B8"/>
    <w:rsid w:val="00D956D6"/>
    <w:rsid w:val="00DA1F42"/>
    <w:rsid w:val="00DA3F49"/>
    <w:rsid w:val="00DA4B7A"/>
    <w:rsid w:val="00DC21C1"/>
    <w:rsid w:val="00DC331A"/>
    <w:rsid w:val="00DC4568"/>
    <w:rsid w:val="00DD042C"/>
    <w:rsid w:val="00DD07BD"/>
    <w:rsid w:val="00DD0FB8"/>
    <w:rsid w:val="00DD4C3D"/>
    <w:rsid w:val="00DD60E2"/>
    <w:rsid w:val="00DE36BD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11469"/>
    <w:rsid w:val="00E11B68"/>
    <w:rsid w:val="00E122FB"/>
    <w:rsid w:val="00E13554"/>
    <w:rsid w:val="00E15A94"/>
    <w:rsid w:val="00E24BB0"/>
    <w:rsid w:val="00E27BBF"/>
    <w:rsid w:val="00E33406"/>
    <w:rsid w:val="00E3698A"/>
    <w:rsid w:val="00E37B4D"/>
    <w:rsid w:val="00E4002F"/>
    <w:rsid w:val="00E42658"/>
    <w:rsid w:val="00E44D1E"/>
    <w:rsid w:val="00E46725"/>
    <w:rsid w:val="00E46C2A"/>
    <w:rsid w:val="00E500C5"/>
    <w:rsid w:val="00E508F4"/>
    <w:rsid w:val="00E51E85"/>
    <w:rsid w:val="00E52A20"/>
    <w:rsid w:val="00E54DFE"/>
    <w:rsid w:val="00E55D1E"/>
    <w:rsid w:val="00E5668E"/>
    <w:rsid w:val="00E57029"/>
    <w:rsid w:val="00E609B5"/>
    <w:rsid w:val="00E61DE0"/>
    <w:rsid w:val="00E62BC7"/>
    <w:rsid w:val="00E63122"/>
    <w:rsid w:val="00E63F06"/>
    <w:rsid w:val="00E64886"/>
    <w:rsid w:val="00E6798F"/>
    <w:rsid w:val="00E67E0B"/>
    <w:rsid w:val="00E76EEA"/>
    <w:rsid w:val="00E7751B"/>
    <w:rsid w:val="00E808A2"/>
    <w:rsid w:val="00E809E7"/>
    <w:rsid w:val="00E90079"/>
    <w:rsid w:val="00E92EB2"/>
    <w:rsid w:val="00EA60C0"/>
    <w:rsid w:val="00EA73E5"/>
    <w:rsid w:val="00EB3664"/>
    <w:rsid w:val="00EB3AF7"/>
    <w:rsid w:val="00EB6BC0"/>
    <w:rsid w:val="00EC1BD3"/>
    <w:rsid w:val="00ED2423"/>
    <w:rsid w:val="00ED74D3"/>
    <w:rsid w:val="00EE2B0A"/>
    <w:rsid w:val="00EE3198"/>
    <w:rsid w:val="00EE31DA"/>
    <w:rsid w:val="00EE4080"/>
    <w:rsid w:val="00EE7EFE"/>
    <w:rsid w:val="00EF57C9"/>
    <w:rsid w:val="00F01478"/>
    <w:rsid w:val="00F0297E"/>
    <w:rsid w:val="00F03265"/>
    <w:rsid w:val="00F077A3"/>
    <w:rsid w:val="00F07B1B"/>
    <w:rsid w:val="00F10471"/>
    <w:rsid w:val="00F112F6"/>
    <w:rsid w:val="00F13E43"/>
    <w:rsid w:val="00F158EE"/>
    <w:rsid w:val="00F15EF8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C11"/>
    <w:rsid w:val="00F56AEB"/>
    <w:rsid w:val="00F6131B"/>
    <w:rsid w:val="00F61D17"/>
    <w:rsid w:val="00F67B2B"/>
    <w:rsid w:val="00F7451E"/>
    <w:rsid w:val="00F76832"/>
    <w:rsid w:val="00F77D76"/>
    <w:rsid w:val="00F80B45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40F"/>
    <w:rsid w:val="00FB04E0"/>
    <w:rsid w:val="00FB5D38"/>
    <w:rsid w:val="00FB795E"/>
    <w:rsid w:val="00FC0D8B"/>
    <w:rsid w:val="00FC1021"/>
    <w:rsid w:val="00FC144A"/>
    <w:rsid w:val="00FC3C7F"/>
    <w:rsid w:val="00FC5406"/>
    <w:rsid w:val="00FC739B"/>
    <w:rsid w:val="00FD075D"/>
    <w:rsid w:val="00FD222B"/>
    <w:rsid w:val="00FD2BD9"/>
    <w:rsid w:val="00FD44EF"/>
    <w:rsid w:val="00FD491E"/>
    <w:rsid w:val="00FD63F8"/>
    <w:rsid w:val="00FE6719"/>
    <w:rsid w:val="00FF2385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5655</TotalTime>
  <Pages>3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804</cp:revision>
  <dcterms:created xsi:type="dcterms:W3CDTF">2021-01-15T00:45:00Z</dcterms:created>
  <dcterms:modified xsi:type="dcterms:W3CDTF">2023-05-12T02:45:00Z</dcterms:modified>
</cp:coreProperties>
</file>